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Pr="00927097" w:rsidRDefault="00927097" w:rsidP="00927097">
      <w:pPr>
        <w:shd w:val="clear" w:color="auto" w:fill="FFFFFF"/>
        <w:spacing w:before="150" w:after="75" w:line="240" w:lineRule="auto"/>
        <w:outlineLvl w:val="2"/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</w:pPr>
      <w:r w:rsidRPr="00927097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ru-RU"/>
        </w:rPr>
        <w:t>Республиканская целевая программа "Доступная среда" на 2011-2015 годы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Содержание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29"/>
        <w:gridCol w:w="745"/>
      </w:tblGrid>
      <w:tr w:rsidR="00927097" w:rsidRPr="00927097" w:rsidTr="00927097">
        <w:trPr>
          <w:tblCellSpacing w:w="15" w:type="dxa"/>
        </w:trPr>
        <w:tc>
          <w:tcPr>
            <w:tcW w:w="8925" w:type="dxa"/>
            <w:gridSpan w:val="2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Паспорт Программы</w:t>
            </w:r>
          </w:p>
        </w:tc>
        <w:tc>
          <w:tcPr>
            <w:tcW w:w="72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4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28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Характеристика проблемы, на решение которой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направлена Программа</w:t>
            </w:r>
          </w:p>
        </w:tc>
        <w:tc>
          <w:tcPr>
            <w:tcW w:w="72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4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28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Цель и задачи Программы</w:t>
            </w:r>
          </w:p>
        </w:tc>
        <w:tc>
          <w:tcPr>
            <w:tcW w:w="72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4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28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 этапы реализации Программы</w:t>
            </w:r>
          </w:p>
        </w:tc>
        <w:tc>
          <w:tcPr>
            <w:tcW w:w="72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4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8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Ресурсное обеспечение Программы</w:t>
            </w:r>
          </w:p>
        </w:tc>
        <w:tc>
          <w:tcPr>
            <w:tcW w:w="72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4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28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Механизм реализации Программы</w:t>
            </w:r>
          </w:p>
        </w:tc>
        <w:tc>
          <w:tcPr>
            <w:tcW w:w="72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4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28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Оценка социально-экономической эффективности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реализации Программы</w:t>
            </w:r>
          </w:p>
        </w:tc>
        <w:tc>
          <w:tcPr>
            <w:tcW w:w="72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4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28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Система программных мероприятий</w:t>
            </w:r>
          </w:p>
        </w:tc>
        <w:tc>
          <w:tcPr>
            <w:tcW w:w="72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4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28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Список использованных сокращений</w:t>
            </w:r>
          </w:p>
        </w:tc>
        <w:tc>
          <w:tcPr>
            <w:tcW w:w="72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</w:tbl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Паспорт Программы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6414"/>
      </w:tblGrid>
      <w:tr w:rsidR="00927097" w:rsidRPr="00927097" w:rsidTr="00927097">
        <w:trPr>
          <w:tblCellSpacing w:w="15" w:type="dxa"/>
        </w:trPr>
        <w:tc>
          <w:tcPr>
            <w:tcW w:w="30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66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Республиканская целевая программа «Доступная среда» на 2011-2015 годы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30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Основание для разработки Программы</w:t>
            </w:r>
          </w:p>
        </w:tc>
        <w:tc>
          <w:tcPr>
            <w:tcW w:w="66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Постановление Правительства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Республики Башкортостан от 30 сентября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2009 года № 370 «О Стратегии социально-экономического развития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Республики Башкортостан до 2020 года»;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распоряжение Правительства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Республики Башкортостан от 16 июня 2010 года № 633-р (с изменениями, внесенными распоряжением Правительства</w:t>
            </w:r>
            <w:proofErr w:type="gramEnd"/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Республики Башкортостан от 30 августа 2010 года № 927-р)</w:t>
            </w:r>
            <w:proofErr w:type="gramEnd"/>
          </w:p>
        </w:tc>
      </w:tr>
      <w:tr w:rsidR="00927097" w:rsidRPr="00927097" w:rsidTr="00927097">
        <w:trPr>
          <w:tblCellSpacing w:w="15" w:type="dxa"/>
        </w:trPr>
        <w:tc>
          <w:tcPr>
            <w:tcW w:w="30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Государственный заказчик-координатор Программы</w:t>
            </w:r>
          </w:p>
        </w:tc>
        <w:tc>
          <w:tcPr>
            <w:tcW w:w="66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Министерство труда и социальной защиты населения Республики Башкортостан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30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Разработчик Программы</w:t>
            </w:r>
          </w:p>
        </w:tc>
        <w:tc>
          <w:tcPr>
            <w:tcW w:w="66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Министерство труда и социальной защиты населения Республики Башкортостан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30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Государственные заказчики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66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Министерство здравоохранения Республики Башкортостан;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Министерство культуры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Республики Башкортостан;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Министерство молодежной политики и спорта Республики Башкортостан;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Министерство образования Республики Башкортостан;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Министерство промышленности и инновационной политики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Республики Башкортостан;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Министерство связи и массовых коммуникаций Республики Башкортостан;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Министерство экономического развития Республики Башкортостан;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Государственный комитет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Республики Башкортостан по строительству и архитектуре;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Государственный комитет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Республики Башкортостан по транспорту и дорожному хозяйству;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администрации муниципальных районов и городских округов Республики Башкортостан (по согласованию)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30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Цель и задачи Программы</w:t>
            </w:r>
          </w:p>
        </w:tc>
        <w:tc>
          <w:tcPr>
            <w:tcW w:w="66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Цель: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создание инвалидам условий для равного с другими гражданами участия в жизни общества за счет формирования общей среды жизнедеятельности с учетом потребностей инвалидов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нормативно-методическое обеспечение работ по созданию условий для преобразования среды жизнедеятельности в </w:t>
            </w:r>
            <w:proofErr w:type="gramStart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доступную</w:t>
            </w:r>
            <w:proofErr w:type="gramEnd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инвалидов;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комплекса мероприятий по формированию средствами архитектуры и градостроительства условий, обеспечивающих инвалидам доступ к физическому окружению;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создание условий для беспрепятственного передвижения инвалидов средствами общественного и индивидуального транспорта, в том числе с помощью кресел-колясок;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организация информационной поддержки деятельности по созданию условий для преобразования среды жизнедеятельности в </w:t>
            </w:r>
            <w:proofErr w:type="gramStart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доступную</w:t>
            </w:r>
            <w:proofErr w:type="gramEnd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инвалидов;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создание условий для обеспечения беспрепятственного доступа инвалидов к средствам связи и информации;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создание системы координации деятельности по преобразованию среды жизнедеятельности в </w:t>
            </w:r>
            <w:proofErr w:type="gramStart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доступную</w:t>
            </w:r>
            <w:proofErr w:type="gramEnd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для инвалидов и контроля за соблюдением нормативных требований по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обеспечению их доступа к объектам социальной инфраструктуры;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организационная поддержка и проведение мероприятий по социокультурной реабилитации инвалидов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30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 этапы реализации Программы</w:t>
            </w:r>
          </w:p>
        </w:tc>
        <w:tc>
          <w:tcPr>
            <w:tcW w:w="66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Программа будет реализовываться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2011-2015 годах в два этапа: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 этап - 2011-2012 годы;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II этап - 2013-2015 годы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30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Ресурсное обеспечение Программы</w:t>
            </w:r>
          </w:p>
        </w:tc>
        <w:tc>
          <w:tcPr>
            <w:tcW w:w="66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прогнозный объем финансирования Программы составляет 3039,48 млн. рублей,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2011 год - 546,24 млн. рублей;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2012 год - 602,32 млн. рублей;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2013 год - 672,60 млн. рублей;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 год - 615,93 млн. рублей;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2015 год - 602,39 млн. рублей,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на условиях </w:t>
            </w:r>
            <w:proofErr w:type="spellStart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- 138,63 млн. рублей;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средства бюджета Республики Башкортостан - 2857,70 млн. рублей;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внебюджетные средства - 43,15 млн. рублей;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(объемы средств определяются муниципальными образованиями с учетом возможностей их бюджетов).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Расходы на реализацию программных мероприятий подлежат ежегодной корректировке с учетом возможностей бюджета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Республики Башкортостан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30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Важнейшие целевые индикаторы и показатели реализации Программы</w:t>
            </w:r>
          </w:p>
        </w:tc>
        <w:tc>
          <w:tcPr>
            <w:tcW w:w="66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Увеличение количества объектов социальной инфраструктуры, оборудованных в целях обеспечения доступности для инвалидов, не менее чем на 8 объектов в год, включая объекты, адаптированные за счет внебюджетных средств и сметы доходов и расходов учреждений;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инвалидов, удовлетворенных качеством оказанных реабилитационных услуг, от общего числа опрошенных - не менее 80% к 2015 году;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количество внедренных современных методик и технологий в деятельность </w:t>
            </w:r>
            <w:proofErr w:type="gramStart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медико-социальных</w:t>
            </w:r>
            <w:proofErr w:type="gramEnd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учреждений и учреждений, оказывающих инвалидам услуги по реабилитации, - не менее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 единиц;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инвалидов, принявших участие в реализации социокультурных мероприятий Программы, - не менее 500 человек ежегодно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30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69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Создание для инвалидов возможностей равного с другими гражданами участия в жизни общества за счет формирования общей среды жизнедеятельности с учетом потребностей инвалидов;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повышение доли социально адаптированных и интегрированных в общество инвалидов;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повышение качества жизни инвалидов</w:t>
            </w:r>
          </w:p>
        </w:tc>
      </w:tr>
    </w:tbl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Характеристика проблемы, на решение которой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направлена Программа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этого лица.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Важнейшими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инфраструктуры,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Республике Башкортостан последовательно и системно проводятся работы по социальной реабилитации и интеграции инвалидов в общество. Начиная с 1998 года основным методом создания в республике реабилитационной инфраструктуры, повышения качества и уровня жизни инвалидов является реализация соответствующих республиканских целевых программ.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2010 году завершилась реализация республиканской целевой программы «Социальная поддержка инвалидов в Республике Башкортостан» на 2007-2010 годы. Она способствовала созданию общих условий для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безбарьерной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среды жизнедеятельности инвалидов.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Так, на этапе 2007-2010 годов результативной была реализация следующих мероприятий: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содействие беспрепятственному доступу инвалидов к информации (повышение квалификации с выдачей документов государственного образца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сурдопереводчиков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секретарей-чтецов инвалидов по зрению, приобретение для Башкирской республиканской специальной библиотеки для слепых специализированного компьютерного оборудования и автотранспорта для соответствующего обслуживания инвалидов на дому);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обеспечение беспрепятственного доступа инвалидов к услугам в системе профессионального образования (приобретение адаптированного учебного оборудования и оборудования для организации реабилитационного сопровождения учебного процесса в профессиональном лицее № 71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.С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терлитамака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трудовой деятельности в доступной для инвалида форме и создание специальных рабочих мест на производственных предприятиях (на специально созданные рабочие места трудоустроены инвалиды по зрению, проведены конкурсы проектов работодателей по созданию специальных рабочих мест);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проведение пилотных обследований доступности для инвалидов-колясочников объектов городской инфраструктуры (многие значимые для жизнедеятельности инвалидов объекты социальной, транспортной, инженерной инфраструктуры не соответствуют требованиям доступности).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Результаты реализации указанной программы позволили при формировании государственной политики в области социальной поддержки инвалидов одной из приоритетных считать проблему формирования доступной среды жизнедеятельности для инвалидов.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принципом разделения предметов ведения и полномочий решение указанной проблемы входит в круг обязанностей Правительства Российской Федерации, исполнительных органов государственной власти Республики Башкортостан, органов местного самоуправления республики и организаций независимо от организационно-правовой формы.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Республиканская целевая программа «Доступная среда» на 2011-2015 годы (далее – Программа) разработана с учетом положений статьи 15 Федерального закона «О социальной защите инвалидов в Российской Федерации» и определяет приоритетные направления государственной политики Республики Башкортостан в данной области. В разработке Программы приняли участие исполнительные органы государственной власти Республики Башкортостан, ответственные за различные аспекты формирования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безбарьерной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среды жизнедеятельности инвалидов, а также действующие на территории республики всероссийские общественные организации инвалидов, заинтересованные организации.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содержанию Программа является социальной, по срокам реализации – долгосрочной. Отдельные мероприятия Программы совмещены с мероприятиями, проводимыми в Республике Башкортостан в рамках иных республиканских целевых программ.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Особая значимость решения указанной проблемы для повышения эффективности социально-экономического развития Республики Башкортостан состоит в том, что формирование среды жизнедеятельности с учетом требований доступности для инвалидов повысит социальные гарантии этой категории граждан в республике, снизит бюджетную нагрузку на социальные службы, позволит инвалидам получать профессиональное </w:t>
      </w: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образование и трудоустраиваться, что в свою очередь снизит нагрузку на финансовое обеспечение государственных гарантий инвалидам.</w:t>
      </w:r>
      <w:proofErr w:type="gramEnd"/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основана на следующих принципах формирования доступной и комфортной для инвалидов среды жизнедеятельности: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организация 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контроля за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соблюдением законодательства в сфере создания инвалидам средствами архитектуры и градостроительства условий для доступа к объектам социальной инфраструктуры;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последовательное преобразование сложившейся социальной инфраструктуры за счет частичного изменения (или без) планировочной структуры объектов социальной инфраструктуры;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регулярное осуществление положительно зарекомендовавших себя мероприятий по социокультурной реабилитации инвалидов.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конкретизации мероприятий, необходимых для формирования доступной для инвалидов среды жизнедеятельности, целесообразно исходить из качественных характеристик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инвалидизации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населения (тяжести инвалидности).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организации, например, профессиональной реабилитации и содействия трудоустройству инвалидов следует учитывать, что: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инвалид I группы - лицо, нуждающееся в постоянной посторонней помощи, не способное осуществлять любую трудовую деятельность в соответствии с требованиями к содержанию, объему, качеству и условиям выполнения работы;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инвалид II группы – лицо, которому показана трудовая деятельность в специально созданных условиях труда с использованием вспомогательных технических средств и (или) с помощью других лиц;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инвалид III группы – лицо, способное к выполнению трудовой деятельности в обычных условиях при снижении квалификации, тяжести, напряженности и (или) уменьшении объема работы.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Так, при преобладании в структуре населения инвалидов I группы приоритетны проблемы доступа к многообразным услугам на дому, по месту жительства (например, передвижная стоматология). 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Преобладание в структуре населения инвалидов II группы обязывает концентрировать государственные усилия на создании специальных условий для реализации инвалидами права на труд, в том числе через обеспечение доступности зданий, сооружений, пассажирского транспорта и др. Количественное доминирование в структуре населения инвалидов III группы, не умаляя значимости проблемы доступности физической среды, ориентирует на доступность реабилитационных услуг, получение которых должно способствовать полноценному возвращению инвалидов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трудовую жизнь.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общей численности населения Республики Башкортостан по состоянию на 1 января 2010 года инвалиды составляли 7,9 % (показатель по Приволжскому федеральному округу - 8,9 %). В Республике Башкортостан в 2009-2010 годах сохранялась тенденция незначительного снижения общей численности этой категории граждан: с 324814 человек в 2009 году до 323201 человека в 2010 году (по состоянию на 1 января соответствующего года). Шло это снижение за счет сокращения численности инвалидов II группы и увеличения числа инвалидов по остальным категориям. Наибольший рост - на 4376 человек - наблюдался в категории «Инвалиды III группы». Тем не менее, на долю инвалидов II группы приходилось 49 % общей численности инвалидов, III группы – 42 %, I группы – 8 %, т.е. инвалиды II группы преобладают в структуре инвалидов республики.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Снижавшиеся в 2008-2009 годах показатели детской инвалидности на современном этапе вновь стали расти: с 13226 человек в 2009 году до 13602 человек в 2010 году. Дети-инвалиды являются одним из источников количественного роста инвалидов среди взрослого населения, поэтому данный показатель существенен для планирования программных мероприятий.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Программой подлежат оснащению специальными приспособлениями и оборудованием для свободного передвижения и доступа инвалидов следующие объекты социальной инфраструктуры: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административные здания и сооружения;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объекты культуры и культурно-зрелищные сооружения (театры, кинотеатры, библиотеки, музеи и т.д.);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объекты и учреждения образования, науки, здравоохранения и социальной защиты населения;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объекты и сооружения транспортного обслуживания населения: железнодорожные вокзалы, автовокзалы, аэровокзалы, аэропорты, другие объекты автомобильного, железнодорожного, водного и воздушного транспорта, обслуживающие население, станции и остановки всех видов городского и междугородного транспорта.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создания инвалидам условий беспрепятственного доступа к физическому окружению предполагается использование следующих приспособлений и оборудования: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визуальная и звуковая информация (вывески, таблички, электронные табло);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дублирование звуковыми сигналами сигналов светофоров и устройств, регулирующих движение пешеходов через транспортные коммуникации;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санитарно-гигиенические помещения;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пандусы и поручни при входах в здания, у лестниц привокзальных площадей, платформ, остановок маршрутных транспортных средств, мест высадки и посадки пассажиров;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специальные поручни, ручки или другие приспособления для удобства нахождения инвалидов в общественном транспорте на отведенных для них местах;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указатели мест бесплатной парковки специальных автотранспортных средств инвалидов на автостоянках и в местах парковки.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Цель и задачи Программы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Целью Программы является создание инвалидам условий для равного с другими гражданами участия в жизни общества за счет формирования общей среды жизнедеятельности с учетом потребностей инвалидов.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достижения заявленной цели необходимо решение следующих задач: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нормативно-методическое обеспечение работ по созданию условий для преобразования среды жизнедеятельности в 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доступную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инвалидов;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проведение комплекса мероприятий по формированию средствами архитектуры и градостроительства условий, обеспечивающих инвалидам доступ к физическому окружению;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условий для беспрепятственного передвижения инвалидов средствами общественного и индивидуального транспорта, в том числе с помощью кресел-колясок;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организация информационной поддержки деятельности по созданию условий для преобразования среды жизнедеятельности в 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доступную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инвалидов;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условий для беспрепятственного доступа инвалидов к средствам связи и информации;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создание системы координации деятельности по преобразованию среды жизнедеятельности в 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доступную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инвалидов и контроля за соблюдением нормативных требований по обеспечению их доступа к объектам социальной инфраструктуры;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организационная поддержка и проведение мероприятий по социокультурной реабилитации инвалидов.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Срок и этапы реализации Программы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реализации Программы - 2011-2015 годы.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реализуется в два этапа: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 этап - 2011-2012 годы;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II этап -2013-2015 годы.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первом этапе реализации Программы предполагаются: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нормативно-методическое обеспечение работ по созданию условий для преобразования среды жизнедеятельности в 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доступную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инвалидов;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инвентаризация и паспортизация объектов социальной, инженерной и транспортной инфраструктуры в целях определения степени их доступности для инвалидов;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создание системы координации деятельности по преобразованию среды жизнедеятельности в 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доступную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инвалидов и контроля за соблюдением нормативных требований по обеспечению их доступа к объектам социальной инфраструктуры;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организация системы информационной поддержки деятельности по созданию условий для преобразования среды жизнедеятельности в 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доступную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инвалидов;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разработка, апробация и внедрение системы мониторинга потребностей инвалидов, их удовлетворенности качеством и количеством предоставляемых государственных услуг;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осуществление положительно зарекомендовавших себя мероприятий по социокультурной реабилитации инвалидов.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втором этапе реализации Программы предполагаются: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реализация мероприятий по формированию средствами архитектуры и градостроительства условий, обеспечивающих инвалидам доступ к физическому окружению;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условий для беспрепятственного передвижения инвалидов средствами общественного и индивидуального транспорта, в том числе с помощью кресел-колясок;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информационная поддержка деятельности по созданию условий для преобразования среды жизнедеятельности в 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доступную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инвалидов;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условий для беспрепятственного доступа инвалидов к средствам связи и информации;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осуществление мониторинга реализации администрациями муниципальных районов и городских округов Республики Башкортостан муниципальных программ формирования доступной для инвалидов среды жизнедеятельности;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разработка механизма стимулирования деятельности государственных и негосударственных структур по формированию доступной для инвалидов среды жизнедеятельности;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оценка хода выполнения мероприятий Программы, социально-экономической эффективности ее реализации, корректировка Программы.</w:t>
      </w:r>
    </w:p>
    <w:p w:rsidR="00927097" w:rsidRPr="00927097" w:rsidRDefault="00927097" w:rsidP="00927097">
      <w:pPr>
        <w:shd w:val="clear" w:color="auto" w:fill="FFFFFF"/>
        <w:spacing w:before="75" w:after="150" w:line="240" w:lineRule="auto"/>
        <w:outlineLvl w:val="1"/>
        <w:rPr>
          <w:rFonts w:ascii="Georgia" w:eastAsia="Times New Roman" w:hAnsi="Georgia" w:cs="Times New Roman"/>
          <w:i/>
          <w:iCs/>
          <w:color w:val="1279A4"/>
          <w:sz w:val="30"/>
          <w:szCs w:val="30"/>
          <w:lang w:eastAsia="ru-RU"/>
        </w:rPr>
      </w:pPr>
      <w:r w:rsidRPr="00927097">
        <w:rPr>
          <w:rFonts w:ascii="Georgia" w:eastAsia="Times New Roman" w:hAnsi="Georgia" w:cs="Times New Roman"/>
          <w:i/>
          <w:iCs/>
          <w:color w:val="1279A4"/>
          <w:sz w:val="30"/>
          <w:szCs w:val="30"/>
          <w:lang w:eastAsia="ru-RU"/>
        </w:rPr>
        <w:t>4. Ресурсное обеспечение Программы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Общая потребность в финансовых ресурсах на реализацию программных мероприятий оценивается в 3039,48 млн. рублей, в том числе: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2011 году - 546,24 млн. рублей;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2012 году - 602,32 млн. рублей;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2013 году - 672,60 млн. рублей;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2014 году - 615,93 млн. рублей;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2015 году - 602,39 млн. рублей.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Для выполнения мероприятий первого этапа реализации Программы потребуется 1148,56 млн. рублей.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втором этапе реализации Программы предполагаются ее корректировка на основе анализа результатов первого этапа,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выполнения мероприятий второго этапа потребуется 1890,92 млн. рублей.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Потребность в финансовых средствах определена на основе предложений государственных заказчиков Программы - заинтересованных исполнительных органов государственной власти Республики Башкортостан, представленных ими расчетов затрат на проведение программных мероприятий.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Целевое назначение финансовых средств - капитальные вложения в целях обеспечения доступности для инвалидов объектов социального назначения.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Финансирование мероприятий Программы предполагается осуществлять с привлечением средств федерального бюджета на условиях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софинансирования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бюджета Республики Башкортостан, внебюджетных источников финансирования, а также средств бюджетов муниципальных районов и городских округов Республики Башкортостан (объемы средств определяются муниципальными образованиями республики с учетом возможностей их бюджетов).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Формы привлечения средств федерального бюджета - это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софинансирование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рамках соглашений об исполнении отдельных мероприятий Программы, участие в конкурсном отборе региональных целевых программ.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Средства федерального бюджета предполагается привлечь на втором этапе реализации Программы для выполнения следующих мероприятий</w:t>
      </w:r>
      <w:r w:rsidRPr="009270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оснащение реабилитационным оборудованием учреждений различной ведомственной принадлежности, оказывающих услуги по медицинской, социальной и профессиональной реабилитации инвалидов, в том числе детей-инвалидов;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среды жизнедеятельности с учетом потребностей инвалидов</w:t>
      </w:r>
      <w:r w:rsidRPr="009270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внедрение электронного обмена информацией между исполнительными органами государственной власти Республики Башкортостан, участвующими в реализации Программы.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Средства бюджета Республики Башкортостан, направляемые на реализацию Программы, подлежат ежегодному уточнению при принятии закона о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бюджетеРеспублики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Башкортостанс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учетом фактически достигнутых результатов, изменений социально-экономической ситуации и возможностей бюджета Республики Башкортостан.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Мероприятия, реализация которых планируется за счет текущих расходов бюджета Республики Башкортостан, осуществляются в пределах ассигнований бюджета Республики Башкортостан, предусмотренных на финансирование расходов по обеспечению деятельности соответствующих исполнителей и (или) на субсидирование расходов по соответствующим отраслям экономики.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Кроме того, ряд мероприятий Программы может быть совмещен с мероприятиями, выполняемыми в рамках реализации иных республиканских целевых программ: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республиканской целевой программы «Обеспечение территории Республики Башкортостан документами территориального планирования на 2009-2014 годы», утвержденной постановлением Правительства Республики Башкортостан от 21 октября 2009 года № 391 (совершенствование системы расселения, застройки, благоустройства городских и сельских поселений, их инженерной, транспортной и социальной инфраструктуры);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долгосрочной республиканской целевой программы «Развитие библиотечного дела Республики Башкортостан» на 2010-2014 годы, утвержденной постановлением Правительства Республики Башкортостан от 30 декабря 2009 года № 496 (обеспечение доступности услуг библиотек для граждан с ограничениями в жизнедеятельности, укрепление материально-технической базы Башкирской республиканской специальной библиотеки для слепых);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республиканской целевой программы «Развитие автомобильных дорог Республики Башкортостан (2010-2015 годы)», утвержденной постановлением Правительства Республики Башкортостан от 31 декабря 2009 года № 518 (с изменениями, внесенными постановлением Правительства Республики Башкортостан от 19 января 2011 года № 2) (ремонт, повышение доступности автомобильных дорог общего пользования для населения);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республиканской целевой программы «Безопасность дорожного движения» на 2010-2012 годы, утвержденной постановлением Правительства Республики Башкортостан от 31 декабря 2009 года № 501 (с изменениями, внесенными постановлением Правительства Республики Башкортостан от 5 апреля 2010 года № 107) (изготовление и распространение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световозвращающих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приспособлений, устройство поверхностной обработки дорожного полотна, нанесение горизонтальной дорожной разметки, создание системы маршрутного ориентирования участников дорожного движения и др.);</w:t>
      </w:r>
      <w:proofErr w:type="gramEnd"/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республиканской целевой программы «Укрепление материально-технической базы государственного учреждения здравоохранения Республиканская детская клиническая больница» на 2010-2013 годы, утвержденной постановлением Правительства Республики Башкортостан от 21 июня 2010 года № 217 (совершенствование системы организации и повышение качества оказания специализированной, в том числе высокотехнологичной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</w:t>
      </w:r>
      <w:proofErr w:type="gram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медицинской помощи детям).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Ресурсное обеспечение Программы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436"/>
        <w:gridCol w:w="1189"/>
        <w:gridCol w:w="1061"/>
        <w:gridCol w:w="1061"/>
        <w:gridCol w:w="1061"/>
        <w:gridCol w:w="1024"/>
        <w:gridCol w:w="1015"/>
      </w:tblGrid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0" w:type="dxa"/>
            <w:gridSpan w:val="7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(млн. рублей)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vMerge w:val="restart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источников финансирования</w:t>
            </w:r>
          </w:p>
        </w:tc>
        <w:tc>
          <w:tcPr>
            <w:tcW w:w="6840" w:type="dxa"/>
            <w:gridSpan w:val="6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Объемы финансирования Программы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097" w:rsidRPr="00927097" w:rsidRDefault="00927097" w:rsidP="009270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097" w:rsidRPr="00927097" w:rsidRDefault="00927097" w:rsidP="009270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565" w:type="dxa"/>
            <w:gridSpan w:val="5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097" w:rsidRPr="00927097" w:rsidRDefault="00927097" w:rsidP="009270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097" w:rsidRPr="00927097" w:rsidRDefault="00927097" w:rsidP="009270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097" w:rsidRPr="00927097" w:rsidRDefault="00927097" w:rsidP="009270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9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6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программе - всего,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3039,48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546,24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602,32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672,60</w:t>
            </w:r>
          </w:p>
        </w:tc>
        <w:tc>
          <w:tcPr>
            <w:tcW w:w="109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106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602,39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138,63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45,50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45,50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47,63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Республики Башкортостан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2857,70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546,24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602,32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607,29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554,42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547,43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43,15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19,81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16,01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7,33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Капитальные вложения -</w:t>
            </w:r>
          </w:p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7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480,40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110,81</w:t>
            </w:r>
          </w:p>
        </w:tc>
        <w:tc>
          <w:tcPr>
            <w:tcW w:w="109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107,01</w:t>
            </w:r>
          </w:p>
        </w:tc>
        <w:tc>
          <w:tcPr>
            <w:tcW w:w="106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102,58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138,63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45,50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45,50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47,63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Республики Башкортостан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298,62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45,50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45,50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47,62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43,15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19,81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16,01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7,33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Капитальные и текущие расходы - всего, в том числе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2450,06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447,01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501,92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537,16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488,49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475,48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Республики Башкортостан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2450,06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447,01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501,92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537,16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488,49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475,48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 расходы - всего, в том числе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109,02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19,23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24,63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24,33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7097" w:rsidRPr="00927097" w:rsidTr="00927097">
        <w:trPr>
          <w:tblCellSpacing w:w="15" w:type="dxa"/>
        </w:trPr>
        <w:tc>
          <w:tcPr>
            <w:tcW w:w="615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40" w:type="dxa"/>
            <w:shd w:val="clear" w:color="auto" w:fill="FFFFFF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Республики Башкортостан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109,02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19,23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24,63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927097" w:rsidRPr="00927097" w:rsidRDefault="00927097" w:rsidP="009270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2709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24,33</w:t>
            </w:r>
          </w:p>
        </w:tc>
      </w:tr>
    </w:tbl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Примечания: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Объемы средств, выделяемых их федерального бюджета, подлежат уточнению по мере заключения соответствующих договоров и соглашений с Министерством здравоохранения и социального развития Российской Федерации.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2. </w:t>
      </w: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Финансирование программных мероприятий из бюджета Республики Башкортостан может быть осуществлено исходя из возможностей бюджета в пределах средств, предусмотренных в сметах расходов главных распорядителей и получателей бюджетных средств, определенных в качестве заказчиков Программы, путем включения мероприятий и объектов строительства в республиканские адресные инвестиционные программы и распределения централизованных средств, предусмотренных на обеспечение непредвиденных расходов и мероприятий республиканского значения.</w:t>
      </w:r>
      <w:proofErr w:type="gramEnd"/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Финансовые затраты, связанные с выполнением Программы в части обеспечения доступности для инвалидов вновь строящихся объектов социальной, транспортной и инженерной инфраструктуры, несут собственники и балансодержатели этих объектов.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Механизм реализации Программы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Реализация Программы осуществляется Министерством труда и социальной защиты населения Республики Башкортостан, другими заинтересованными исполнительными органами государственной власти Республики Башкортостан, администрациями муниципальных районов и городских округов республики (по согласованию).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Государственный заказчик-координатор Программы - Министерство труда и социальной защиты населения Республики Башкортостан - осуществляет текущее управление реализацией Программы.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Исполнительные органы государственной власти Республики Башкортостан осуществляют текущее управление реализацией мероприятий Программы, за выполнение которых они ответственны.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Управление реализацией Программы подразумевает: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подготовку предложений для заключения Правительством Республики Башкортостан соглашений с Министерством здравоохранения и социального развития Российской Федерации о предоставлении субсидий за счет средств федерального бюджета;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заключение по поручению Правительства Республики Башкортостан соответствующих соглашений с органами местного самоуправления республики - участниками реализации Программы;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организацию мониторинга выполнения Программы и системы отчетности ее государственных заказчиков и исполнителей;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эффективного целевого использования средств, выделяемых на реализацию Программы.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Государственный заказчик-координатор Программы: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ежегодно готовит и представляет в Министерство экономического развития Республики Башкортостан бюджетную заявку на ассигнования из бюджета Республики Башкортостан на финансирование мероприятий Программы на очередной финансовый год и плановый период, а также обоснование объемов финансирования мероприятий Программы на очередной финансовый год и последующие годы по всем направлениям расходования средств и источникам финансирования;</w:t>
      </w:r>
      <w:proofErr w:type="gramEnd"/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ежеквартально в срок до 15 числа месяца, следующего за отчетным периодом, нарастающим итогом с начала года представляет в Министерство экономического развития Республики Башкортостан отчет о ходе реализации Программы по установленной форме;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выполняет свои функции во взаимодействии с заинтересованными органами государственной власти Российской Федерации, исполнительными органами государственной власти Республики Башкортостан и органами местного самоуправления республики.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Администрациям муниципальных районов и городских округов Республики Башкортостан рекомендуется: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разработать и утвердить муниципальные программы формирования доступной для инвалидов среды жизнедеятельности с учетом положений Программы;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обеспечить финансирование мероприятий указанных муниципальных программ за счет средств местных бюджетов;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представлять государственному заказчику-координатору Программы информацию о ходе выполнения муниципальных программ в порядке и сроки, установленные Программой.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Отбор организаций - исполнителей Программы осуществляется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Оценка социально-экономической эффективности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реализации Программы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Социально-экономическая эффективность реализации Программы определяется социальным эффектом, выражающимся в улучшении среды жизнедеятельности инвалидов. Количественный показатель этого определяется по отдельным мероприятиям.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Социально-экономическая эффективность реализации мероприятий Программы рассчитывается по следующей формуле: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X (численность инвалидов)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Пэф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= ----------------------------------- , где: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Y (количественное выражение реализации мероприятия)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Пэф</w:t>
      </w:r>
      <w:proofErr w:type="spellEnd"/>
      <w:r w:rsidRPr="009270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– </w:t>
      </w: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показатель социально-экономической эффективности, искомый результат реализации мероприятия Программы, выражающийся в численности инвалидов, получивших дополнительные возможности в реализации своих потребностей;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 – общая численность инвалидов на начало года, в котором реализуется мероприятие Программы;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Y – количественное выражение реализации мероприятия Программы нарастающим итогом с момента начала ее реализации.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Так, системой программных мероприятий предусмотрены организация и проведение подготовки (переподготовки)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тифло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-переводчиков. Условно для 8 тысяч инвалидов по слуху, пользующихся услугами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сурдопереводчиков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ежегодно будут готовиться 10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сурдопереводчиков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Показателем эффективности реализации мероприятия является сокращение очередности инвалидов на получение услуг по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сурдопереводу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 счет уменьшения количественной нагрузки на одного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сурдопереводчика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(периодичность и количество часов услуг по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сурдопереводу</w:t>
      </w:r>
      <w:proofErr w:type="spellEnd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установлены федеральным законодательством).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8000 инвалидов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2011 году: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Пэф</w:t>
      </w:r>
      <w:proofErr w:type="spellEnd"/>
      <w:r w:rsidRPr="009270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= </w:t>
      </w: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------------------------------ = 800 человек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10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сурдопереводчиков</w:t>
      </w:r>
      <w:proofErr w:type="spellEnd"/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8000 инвалидов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2012 году: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Пэф</w:t>
      </w:r>
      <w:proofErr w:type="spellEnd"/>
      <w:r w:rsidRPr="009270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= </w:t>
      </w: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------------------------------ = 400 человек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20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сурдопереводчиков</w:t>
      </w:r>
      <w:proofErr w:type="spellEnd"/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8000 инвалидов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2013 году: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Пэф</w:t>
      </w:r>
      <w:proofErr w:type="spellEnd"/>
      <w:r w:rsidRPr="009270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= </w:t>
      </w: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------------------------------ = 266 человек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30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сурдопереводчиков</w:t>
      </w:r>
      <w:proofErr w:type="spellEnd"/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8000 инвалидов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В 2014 году: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r w:rsidRPr="009270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э</w:t>
      </w: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</w:t>
      </w:r>
      <w:proofErr w:type="spellEnd"/>
      <w:r w:rsidRPr="009270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= </w:t>
      </w: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------------------------------ = 200 человек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40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сурдопереводчиков</w:t>
      </w:r>
      <w:proofErr w:type="spellEnd"/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8000 инвалидов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2015 году: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Пэф</w:t>
      </w:r>
      <w:proofErr w:type="spellEnd"/>
      <w:r w:rsidRPr="009270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= </w:t>
      </w: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------------------------------ = 160 человек</w:t>
      </w:r>
    </w:p>
    <w:p w:rsidR="00927097" w:rsidRPr="00927097" w:rsidRDefault="00927097" w:rsidP="00927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50 </w:t>
      </w:r>
      <w:proofErr w:type="spellStart"/>
      <w:r w:rsidRPr="009270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сурдопереводчиков</w:t>
      </w:r>
      <w:proofErr w:type="spellEnd"/>
    </w:p>
    <w:p w:rsidR="00AD4466" w:rsidRDefault="00AD4466"/>
    <w:sectPr w:rsidR="00A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97"/>
    <w:rsid w:val="00927097"/>
    <w:rsid w:val="00A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7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7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4585</Words>
  <Characters>26138</Characters>
  <Application>Microsoft Office Word</Application>
  <DocSecurity>0</DocSecurity>
  <Lines>217</Lines>
  <Paragraphs>61</Paragraphs>
  <ScaleCrop>false</ScaleCrop>
  <Company/>
  <LinksUpToDate>false</LinksUpToDate>
  <CharactersWithSpaces>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2013-11-27T08:37:00Z</dcterms:created>
  <dcterms:modified xsi:type="dcterms:W3CDTF">2013-11-27T08:37:00Z</dcterms:modified>
</cp:coreProperties>
</file>